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E9EDB" w14:textId="2D1D02A0" w:rsidR="00ED4CEF" w:rsidRPr="003C6351" w:rsidRDefault="00ED4CEF" w:rsidP="003C6351">
      <w:pPr>
        <w:spacing w:after="0" w:line="276" w:lineRule="auto"/>
        <w:jc w:val="center"/>
        <w:rPr>
          <w:rFonts w:ascii="Times New Roman" w:hAnsi="Times New Roman" w:cs="Times New Roman"/>
          <w:b/>
          <w:sz w:val="28"/>
          <w:szCs w:val="28"/>
        </w:rPr>
      </w:pPr>
      <w:r>
        <w:rPr>
          <w:rFonts w:ascii="Times New Roman" w:hAnsi="Times New Roman"/>
          <w:b/>
          <w:sz w:val="28"/>
        </w:rPr>
        <w:t>INSTRUCTIONS FOR THE DEFENDANT ON THE RIGHTS AND DUTIES DURING THE MAIN COURT TRIAL</w:t>
      </w:r>
    </w:p>
    <w:p w14:paraId="14E49CCA" w14:textId="263B7A3B" w:rsidR="001130EA" w:rsidRPr="003C6351" w:rsidRDefault="001130EA" w:rsidP="003C6351">
      <w:pPr>
        <w:spacing w:after="0" w:line="276" w:lineRule="auto"/>
        <w:jc w:val="center"/>
        <w:rPr>
          <w:rFonts w:ascii="Times New Roman" w:hAnsi="Times New Roman" w:cs="Times New Roman"/>
          <w:b/>
          <w:sz w:val="24"/>
          <w:szCs w:val="24"/>
        </w:rPr>
      </w:pPr>
      <w:r>
        <w:rPr>
          <w:rFonts w:ascii="Times New Roman" w:hAnsi="Times New Roman"/>
          <w:b/>
          <w:color w:val="333333"/>
          <w:sz w:val="24"/>
          <w:shd w:val="clear" w:color="auto" w:fill="FFFFFF"/>
        </w:rPr>
        <w:t>(The Act of 6 June 1997 on the Code of Criminal Procedure, legal status based on consolidated text: Journal of Laws  of 2025, item 46, as amended</w:t>
      </w:r>
      <w:r>
        <w:rPr>
          <w:rFonts w:ascii="Times New Roman" w:hAnsi="Times New Roman"/>
          <w:b/>
          <w:sz w:val="24"/>
        </w:rPr>
        <w:t>)</w:t>
      </w:r>
    </w:p>
    <w:p w14:paraId="7860F752" w14:textId="77777777" w:rsidR="00ED4CEF" w:rsidRPr="003C6351" w:rsidRDefault="00ED4CEF" w:rsidP="003C6351">
      <w:pPr>
        <w:spacing w:after="0" w:line="276" w:lineRule="auto"/>
        <w:rPr>
          <w:rFonts w:ascii="Times New Roman" w:hAnsi="Times New Roman" w:cs="Times New Roman"/>
          <w:sz w:val="24"/>
          <w:szCs w:val="24"/>
        </w:rPr>
      </w:pPr>
    </w:p>
    <w:p w14:paraId="3AFCF4BC" w14:textId="4E082978" w:rsidR="00ED4CEF" w:rsidRPr="003C6351" w:rsidRDefault="00ED4CEF" w:rsidP="003C6351">
      <w:pPr>
        <w:spacing w:after="0" w:line="276" w:lineRule="auto"/>
        <w:jc w:val="both"/>
        <w:rPr>
          <w:rFonts w:ascii="Times New Roman" w:hAnsi="Times New Roman" w:cs="Times New Roman"/>
          <w:sz w:val="24"/>
          <w:szCs w:val="24"/>
          <w:u w:val="single"/>
        </w:rPr>
      </w:pPr>
      <w:r>
        <w:rPr>
          <w:rFonts w:ascii="Times New Roman" w:hAnsi="Times New Roman"/>
          <w:sz w:val="24"/>
          <w:u w:val="single"/>
        </w:rPr>
        <w:t>The defendant has the following rights:</w:t>
      </w:r>
    </w:p>
    <w:p w14:paraId="5E67279D" w14:textId="4F25E19A" w:rsidR="00E82F2D" w:rsidRPr="003C6351" w:rsidRDefault="001130EA" w:rsidP="003C6351">
      <w:pPr>
        <w:pStyle w:val="Akapitzlist"/>
        <w:numPr>
          <w:ilvl w:val="0"/>
          <w:numId w:val="6"/>
        </w:numPr>
        <w:spacing w:after="0" w:line="276" w:lineRule="auto"/>
        <w:ind w:left="426"/>
        <w:jc w:val="both"/>
        <w:rPr>
          <w:rFonts w:ascii="Times New Roman" w:hAnsi="Times New Roman" w:cs="Times New Roman"/>
          <w:sz w:val="24"/>
          <w:szCs w:val="24"/>
        </w:rPr>
      </w:pPr>
      <w:r>
        <w:rPr>
          <w:rFonts w:ascii="Times New Roman" w:hAnsi="Times New Roman"/>
          <w:color w:val="333333"/>
          <w:sz w:val="24"/>
          <w:shd w:val="clear" w:color="auto" w:fill="FFFFFF"/>
        </w:rPr>
        <w:t xml:space="preserve">The defendant has the right to defence, including the right to use a defence counsel (Article 6 of the Code of Criminal Procedure). A defendant detained on remand may communicate with their defence counsel in the absence of other persons and by post (Article 73 §1 of the Code of Criminal Procedure). A defendant may have no more than three defence counsels at any one time (Article 77 of the Code of Criminal Procedure). A defendant who does not have a defence counsel of choice may demand that they be appointed a court-appointed defence counsel if they duly demonstrate that they are unable to bear the costs of defence without detriment to the necessary support of themselves and their family. A refusal to appoint a court-appointed defence counsel must not be based on the defendant’s use of free legal services or free civic </w:t>
      </w:r>
      <w:r w:rsidR="00FB0B39">
        <w:rPr>
          <w:rFonts w:ascii="Times New Roman" w:hAnsi="Times New Roman"/>
          <w:color w:val="333333"/>
          <w:sz w:val="24"/>
          <w:shd w:val="clear" w:color="auto" w:fill="FFFFFF"/>
        </w:rPr>
        <w:t>counselling</w:t>
      </w:r>
      <w:r>
        <w:rPr>
          <w:rFonts w:ascii="Times New Roman" w:hAnsi="Times New Roman"/>
          <w:color w:val="333333"/>
          <w:sz w:val="24"/>
          <w:shd w:val="clear" w:color="auto" w:fill="FFFFFF"/>
        </w:rPr>
        <w:t xml:space="preserve">, as referred to in the </w:t>
      </w:r>
      <w:r>
        <w:rPr>
          <w:rFonts w:ascii="Times New Roman" w:hAnsi="Times New Roman"/>
          <w:sz w:val="24"/>
          <w:shd w:val="clear" w:color="auto" w:fill="FFFFFF"/>
        </w:rPr>
        <w:t>Act of</w:t>
      </w:r>
      <w:r>
        <w:rPr>
          <w:rFonts w:ascii="Times New Roman" w:hAnsi="Times New Roman"/>
          <w:color w:val="333333"/>
          <w:sz w:val="24"/>
          <w:shd w:val="clear" w:color="auto" w:fill="FFFFFF"/>
        </w:rPr>
        <w:t xml:space="preserve"> 5 August 2015 on Free Legal Services, Free Civic </w:t>
      </w:r>
      <w:r w:rsidR="00FB0B39">
        <w:rPr>
          <w:rFonts w:ascii="Times New Roman" w:hAnsi="Times New Roman"/>
          <w:color w:val="333333"/>
          <w:sz w:val="24"/>
          <w:shd w:val="clear" w:color="auto" w:fill="FFFFFF"/>
        </w:rPr>
        <w:t>Counselling</w:t>
      </w:r>
      <w:r>
        <w:rPr>
          <w:rFonts w:ascii="Times New Roman" w:hAnsi="Times New Roman"/>
          <w:color w:val="333333"/>
          <w:sz w:val="24"/>
          <w:shd w:val="clear" w:color="auto" w:fill="FFFFFF"/>
        </w:rPr>
        <w:t xml:space="preserve"> and Legal Education (Journal of Laws of 2024, item 1534). The defendant may also request the appointment of a court-appointed defence counsel for a specific procedural action (Article 78 §§1 and 2 of the Code of Criminal Procedure). In criminal proceedings, a defendant must have a defence counsel if the defendant is under 18 years of age, is deaf, mute or blind, there is a reasonable doubt as to whether the defendant’s ability to recognize the meaning of the act or direct their conduct is not ruled out or significantly impaired at the time the act was committed, there is a reasonable doubt as to whether their mental health condition allows them to participate in the proceedings or conduct their defence on their own and in a reasonable manner, and also when the court deems it necessary due to other circumstances hindering the defence. In such cases, the participation of a defence counsel is mandatory in the trial and in those hearings in which the participation of the defendant is mandatory (Article 79 §§1, 2 and 3 of the Code of Criminal Procedure). The defendant must also have a defence counsel in district court proceedings if the defendant is charged with a felony. In such a case, the participation of the defence counsel in the main court trial is mandatory (Article 80 of the Code of Criminal Procedure). At the substantiated motion of the defendant or their counsel, the president or court clerk of the court having jurisdiction over the case may appoint a new counsel in place of the existing one (Article 81 §2 of the Code of Criminal Procedure). A defence counsel shall be appointed by the defendant; until the defendant who is deprived of liberty appoints a defence counsel, the defence counsel may be appointed by another person. The authorisation to defend may be given in writing or by a statement on the record of the body conducting criminal proceedings (Article 83 §§1 and 2 of the Code of Criminal Procedure);</w:t>
      </w:r>
    </w:p>
    <w:p w14:paraId="2FD6E8B1" w14:textId="4363AA44" w:rsidR="001130EA" w:rsidRPr="003C6351" w:rsidRDefault="001130EA" w:rsidP="003C6351">
      <w:pPr>
        <w:pStyle w:val="Akapitzlist"/>
        <w:numPr>
          <w:ilvl w:val="0"/>
          <w:numId w:val="6"/>
        </w:numPr>
        <w:spacing w:after="0" w:line="276" w:lineRule="auto"/>
        <w:ind w:left="426"/>
        <w:jc w:val="both"/>
        <w:rPr>
          <w:rFonts w:ascii="Times New Roman" w:hAnsi="Times New Roman" w:cs="Times New Roman"/>
          <w:sz w:val="24"/>
          <w:szCs w:val="24"/>
        </w:rPr>
      </w:pPr>
      <w:r>
        <w:rPr>
          <w:rFonts w:ascii="Times New Roman" w:hAnsi="Times New Roman"/>
          <w:color w:val="333333"/>
          <w:sz w:val="24"/>
          <w:shd w:val="clear" w:color="auto" w:fill="FFFFFF"/>
        </w:rPr>
        <w:t xml:space="preserve">The court or court clerk, and in the preparatory proceedings the prosecutor or another authority in charge of such proceedings, may, upon the initiative or with the consent of the defendant and the wronged party, refer the case to an institution or person authorized to do so to conduct mediation between the victim and the defendant. The mediator witness may </w:t>
      </w:r>
      <w:r>
        <w:rPr>
          <w:rFonts w:ascii="Times New Roman" w:hAnsi="Times New Roman"/>
          <w:color w:val="333333"/>
          <w:sz w:val="24"/>
          <w:shd w:val="clear" w:color="auto" w:fill="FFFFFF"/>
        </w:rPr>
        <w:lastRenderedPageBreak/>
        <w:t xml:space="preserve">not be questioned as a witness as to the facts they have learned from the defendant or the victim while conducting the mediation proceedings, with the exception of information about the offences referred to in </w:t>
      </w:r>
      <w:r>
        <w:rPr>
          <w:rFonts w:ascii="Times New Roman" w:hAnsi="Times New Roman"/>
          <w:sz w:val="24"/>
          <w:shd w:val="clear" w:color="auto" w:fill="FFFFFF"/>
        </w:rPr>
        <w:t>Article 240 §1 of</w:t>
      </w:r>
      <w:r>
        <w:rPr>
          <w:rFonts w:ascii="Times New Roman" w:hAnsi="Times New Roman"/>
          <w:color w:val="333333"/>
          <w:sz w:val="24"/>
          <w:shd w:val="clear" w:color="auto" w:fill="FFFFFF"/>
        </w:rPr>
        <w:t xml:space="preserve"> the Criminal Code. The participation of the defendant and the victim in mediation proceedings is voluntary. (Article 23a §§ 1 and 4 of the Code of Criminal Procedure);</w:t>
      </w:r>
    </w:p>
    <w:p w14:paraId="6187BBC2" w14:textId="6D531B59" w:rsidR="005233E9" w:rsidRPr="003C6351" w:rsidRDefault="00E3090D" w:rsidP="003C6351">
      <w:pPr>
        <w:pStyle w:val="Akapitzlist"/>
        <w:numPr>
          <w:ilvl w:val="0"/>
          <w:numId w:val="6"/>
        </w:numPr>
        <w:spacing w:after="0" w:line="276" w:lineRule="auto"/>
        <w:ind w:left="426"/>
        <w:jc w:val="both"/>
        <w:rPr>
          <w:rFonts w:ascii="Times New Roman" w:hAnsi="Times New Roman" w:cs="Times New Roman"/>
          <w:sz w:val="24"/>
          <w:szCs w:val="24"/>
        </w:rPr>
      </w:pPr>
      <w:r>
        <w:rPr>
          <w:rFonts w:ascii="Times New Roman" w:hAnsi="Times New Roman"/>
          <w:color w:val="333333"/>
          <w:sz w:val="24"/>
          <w:shd w:val="clear" w:color="auto" w:fill="FFFFFF"/>
        </w:rPr>
        <w:t>The defendant has the right to use an interpreter free of charge if the defendant does not have sufficient command of the Polish language. At the request of the defendant or the defendant’s counsel, an interpreter should also be summoned to communicate between the defendant and the defendant’s defence counsel in connection with an activity in which the defendant is entitled to participate. The defendant shall be served with a translation of the order on the presentation, supplementation or amendment of charges, the bill of indictment, and the decision subject to appeal or concluding the proceedings; with the consent of the defendant, it may be sufficient just to announce the translated decision concluding the proceedings if it is not subject to appeal. (Article 72 §§1, 2 and 3 of the Code of Criminal Procedure);</w:t>
      </w:r>
    </w:p>
    <w:p w14:paraId="6966F80B" w14:textId="13F25C8A" w:rsidR="00E3090D" w:rsidRPr="003C6351" w:rsidRDefault="00E3090D" w:rsidP="003C6351">
      <w:pPr>
        <w:pStyle w:val="Akapitzlist"/>
        <w:numPr>
          <w:ilvl w:val="0"/>
          <w:numId w:val="6"/>
        </w:numPr>
        <w:spacing w:after="0" w:line="276" w:lineRule="auto"/>
        <w:ind w:left="426"/>
        <w:jc w:val="both"/>
        <w:rPr>
          <w:rFonts w:ascii="Times New Roman" w:hAnsi="Times New Roman" w:cs="Times New Roman"/>
          <w:sz w:val="24"/>
          <w:szCs w:val="24"/>
        </w:rPr>
      </w:pPr>
      <w:r>
        <w:rPr>
          <w:rFonts w:ascii="Times New Roman" w:hAnsi="Times New Roman"/>
          <w:color w:val="333333"/>
          <w:sz w:val="24"/>
          <w:shd w:val="clear" w:color="auto" w:fill="FFFFFF"/>
        </w:rPr>
        <w:t>The defendant is not required to prove their innocence or provide evidence to their disadvantage (Article 74 §1 of the Code of Criminal Procedure). Evidence is examined either at the request of the parties or ex officio (Article 167 of the Code of Criminal Procedure). In the request for evidence, the designation of the evidence and the circumstances to be proven must be stated. The manner in which the evidence is to be examined may also be specified (Article 169 §1 of the Code of Criminal Procedure);</w:t>
      </w:r>
    </w:p>
    <w:p w14:paraId="7436F57D" w14:textId="7C9E9006" w:rsidR="00E3090D" w:rsidRPr="003C6351" w:rsidRDefault="00266201" w:rsidP="003C6351">
      <w:pPr>
        <w:pStyle w:val="Akapitzlist"/>
        <w:numPr>
          <w:ilvl w:val="0"/>
          <w:numId w:val="6"/>
        </w:numPr>
        <w:spacing w:after="0" w:line="276" w:lineRule="auto"/>
        <w:ind w:left="426"/>
        <w:jc w:val="both"/>
        <w:rPr>
          <w:rFonts w:ascii="Times New Roman" w:hAnsi="Times New Roman" w:cs="Times New Roman"/>
          <w:sz w:val="24"/>
          <w:szCs w:val="24"/>
        </w:rPr>
      </w:pPr>
      <w:r>
        <w:rPr>
          <w:rFonts w:ascii="Times New Roman" w:hAnsi="Times New Roman"/>
          <w:color w:val="333333"/>
          <w:sz w:val="24"/>
          <w:shd w:val="clear" w:color="auto" w:fill="FFFFFF"/>
        </w:rPr>
        <w:t xml:space="preserve">If the defendant is under 18 years of age or is incapacitated, their legal representative or the person under whose custody the defendant remains may take all procedural actions in their favour, and above all file appeals, submit motions and appoint a defence counsel (Article 76 of the Code of Criminal Procedure). At the request of a defendant under the age of 18, their legal representative or the person under whose custody the defendant remains may be present during the hearing or trial with their participation. If the defendant does not have a legal representative or a person under whose custody they remain, or the presiding judge determines that the participation of such persons may lead to an infringement of the rights or interests of the defendant, is inexpedient for their welfare, prevents the holding of the hearing or the trial, or impedes it in a significant manner, the defendant may designate another adult. If the defendant does not designate such a person, or the presiding judge determines that the presence of such a person may lead to an infringement of the rights or interests of the defendant, is inexpedient for the sake of the defendant’s welfare, prevents the holding of a hearing or trial, or impedes it significantly, the presiding judge shall appoint a family assistant as referred to in </w:t>
      </w:r>
      <w:r>
        <w:rPr>
          <w:rFonts w:ascii="Times New Roman" w:hAnsi="Times New Roman"/>
          <w:sz w:val="24"/>
          <w:shd w:val="clear" w:color="auto" w:fill="FFFFFF"/>
        </w:rPr>
        <w:t>Article 12 of</w:t>
      </w:r>
      <w:r>
        <w:rPr>
          <w:rFonts w:ascii="Times New Roman" w:hAnsi="Times New Roman"/>
          <w:color w:val="333333"/>
          <w:sz w:val="24"/>
          <w:shd w:val="clear" w:color="auto" w:fill="FFFFFF"/>
        </w:rPr>
        <w:t xml:space="preserve"> the Act of 9 June 2011 on Family Support and the System of Foster Care (Journal of Laws of 2024, items 177, 742, 743, 858 and 1572). (Article 76a §1 of the Code of Criminal Procedure);</w:t>
      </w:r>
    </w:p>
    <w:p w14:paraId="6A083CC0" w14:textId="294FDEA8" w:rsidR="00266201" w:rsidRPr="003C6351" w:rsidRDefault="008716FB" w:rsidP="003C6351">
      <w:pPr>
        <w:pStyle w:val="Akapitzlist"/>
        <w:numPr>
          <w:ilvl w:val="0"/>
          <w:numId w:val="6"/>
        </w:numPr>
        <w:spacing w:after="0" w:line="276" w:lineRule="auto"/>
        <w:ind w:left="426"/>
        <w:jc w:val="both"/>
        <w:rPr>
          <w:rFonts w:ascii="Times New Roman" w:hAnsi="Times New Roman" w:cs="Times New Roman"/>
          <w:sz w:val="24"/>
          <w:szCs w:val="24"/>
        </w:rPr>
      </w:pPr>
      <w:r>
        <w:rPr>
          <w:rFonts w:ascii="Times New Roman" w:hAnsi="Times New Roman"/>
          <w:color w:val="333333"/>
          <w:sz w:val="24"/>
          <w:shd w:val="clear" w:color="auto" w:fill="FFFFFF"/>
        </w:rPr>
        <w:t>The parties and non-parties, if they demonstrate a legal interest in the ruling, shall have the right to participate in the hearing when the act of law so provides, unless their participation is mandatory (Article 96 §1 of the Code of Criminal Procedure);</w:t>
      </w:r>
    </w:p>
    <w:p w14:paraId="4A3150BD" w14:textId="518C678D" w:rsidR="008716FB" w:rsidRPr="003C6351" w:rsidRDefault="00084070" w:rsidP="003C6351">
      <w:pPr>
        <w:pStyle w:val="Akapitzlist"/>
        <w:numPr>
          <w:ilvl w:val="0"/>
          <w:numId w:val="6"/>
        </w:numPr>
        <w:spacing w:after="0" w:line="276" w:lineRule="auto"/>
        <w:ind w:left="426"/>
        <w:jc w:val="both"/>
        <w:rPr>
          <w:rFonts w:ascii="Times New Roman" w:hAnsi="Times New Roman" w:cs="Times New Roman"/>
          <w:sz w:val="24"/>
          <w:szCs w:val="24"/>
        </w:rPr>
      </w:pPr>
      <w:r>
        <w:rPr>
          <w:rFonts w:ascii="Times New Roman" w:hAnsi="Times New Roman"/>
          <w:color w:val="333333"/>
          <w:sz w:val="24"/>
          <w:shd w:val="clear" w:color="auto" w:fill="FFFFFF"/>
        </w:rPr>
        <w:t xml:space="preserve">The judgment shall be served on the entities entitled to file an appeal, if the act of law so provides. A decision or order issued outside of the trial which can be appealed against shall be served on the entities entitled to file such an appeal, and the decision ending the </w:t>
      </w:r>
      <w:r>
        <w:rPr>
          <w:rFonts w:ascii="Times New Roman" w:hAnsi="Times New Roman"/>
          <w:color w:val="333333"/>
          <w:sz w:val="24"/>
          <w:shd w:val="clear" w:color="auto" w:fill="FFFFFF"/>
        </w:rPr>
        <w:lastRenderedPageBreak/>
        <w:t>proceedings on its parties, unless they were present at the announcement of the decision or order. The parties are also served with the decision with a statement of grounds in the event that the preparation of a statement of grounds for the decision is postponed for up to 7 days. The parties must be notified of the content of other decisions and orders issued outside the trial and hearing, as well as those issued at the hearing the date of which was not communicated to the party. (Article 100 §§3, 4 and 5 of the Code of Criminal Procedure);</w:t>
      </w:r>
    </w:p>
    <w:p w14:paraId="126D713B" w14:textId="1FD89691" w:rsidR="00CE0C18" w:rsidRPr="003C6351" w:rsidRDefault="00485C27" w:rsidP="003C6351">
      <w:pPr>
        <w:pStyle w:val="Akapitzlist"/>
        <w:numPr>
          <w:ilvl w:val="0"/>
          <w:numId w:val="6"/>
        </w:numPr>
        <w:spacing w:after="0" w:line="276" w:lineRule="auto"/>
        <w:ind w:left="426"/>
        <w:jc w:val="both"/>
        <w:rPr>
          <w:rFonts w:ascii="Times New Roman" w:hAnsi="Times New Roman" w:cs="Times New Roman"/>
          <w:sz w:val="24"/>
          <w:szCs w:val="24"/>
        </w:rPr>
      </w:pPr>
      <w:r>
        <w:rPr>
          <w:rFonts w:ascii="Times New Roman" w:hAnsi="Times New Roman"/>
          <w:color w:val="333333"/>
          <w:sz w:val="24"/>
          <w:shd w:val="clear" w:color="auto" w:fill="FFFFFF"/>
        </w:rPr>
        <w:t>Decisions and orders shall be served as certified copies if the act of law requires service of such decisions and orders (Article 128 §1 of the Code of Criminal Procedure);</w:t>
      </w:r>
    </w:p>
    <w:p w14:paraId="531507F3" w14:textId="4941A292" w:rsidR="00434123" w:rsidRPr="003C6351" w:rsidRDefault="00434123" w:rsidP="003C6351">
      <w:pPr>
        <w:pStyle w:val="Akapitzlist"/>
        <w:numPr>
          <w:ilvl w:val="0"/>
          <w:numId w:val="6"/>
        </w:numPr>
        <w:spacing w:after="0" w:line="276" w:lineRule="auto"/>
        <w:ind w:left="426"/>
        <w:jc w:val="both"/>
        <w:rPr>
          <w:rFonts w:ascii="Times New Roman" w:hAnsi="Times New Roman" w:cs="Times New Roman"/>
          <w:sz w:val="24"/>
          <w:szCs w:val="24"/>
        </w:rPr>
      </w:pPr>
      <w:r>
        <w:rPr>
          <w:rFonts w:ascii="Times New Roman" w:hAnsi="Times New Roman"/>
          <w:color w:val="333333"/>
          <w:sz w:val="24"/>
          <w:shd w:val="clear" w:color="auto" w:fill="FFFFFF"/>
        </w:rPr>
        <w:t>In addition, the progress of activities recorded in the transcript may be fixed by means of a video or audio recording device. The persons participating in the activity should be notified before the device is activated of that fact. A party has the right to receive one copy of the video or audio recording, for a fee. This does not apply to the progress of a trial or another activity held in camera. For important reasons, justified by the protection of the private interests of the persons participating in the trial, the president of the court may not agree to making copies of the video recording of the trial for the parties. (Article 147 §§1 and 4 of the Code of Criminal Procedure). Persons participating in the activity have the right to request the reading of excerpts of their statements included in the transcript (Article 148 §4 of the Code of Criminal Procedure);</w:t>
      </w:r>
    </w:p>
    <w:p w14:paraId="7606A0A4" w14:textId="13A2EA31" w:rsidR="008C26DC" w:rsidRPr="003C6351" w:rsidRDefault="008C26DC" w:rsidP="003C6351">
      <w:pPr>
        <w:pStyle w:val="Akapitzlist"/>
        <w:numPr>
          <w:ilvl w:val="0"/>
          <w:numId w:val="6"/>
        </w:numPr>
        <w:spacing w:after="0" w:line="276" w:lineRule="auto"/>
        <w:ind w:left="426"/>
        <w:jc w:val="both"/>
        <w:rPr>
          <w:rFonts w:ascii="Times New Roman" w:hAnsi="Times New Roman" w:cs="Times New Roman"/>
          <w:sz w:val="24"/>
          <w:szCs w:val="24"/>
        </w:rPr>
      </w:pPr>
      <w:r>
        <w:rPr>
          <w:rFonts w:ascii="Times New Roman" w:hAnsi="Times New Roman"/>
          <w:color w:val="333333"/>
          <w:sz w:val="24"/>
          <w:shd w:val="clear" w:color="auto" w:fill="FFFFFF"/>
        </w:rPr>
        <w:t>The parties shall be given access to the court case file and be able to make copies from it. Information on case files may also be made available by means of an information and communications system if technical reasons do not prevent this. At the request of the defendant or their counsel, copies of documents from the case file shall be issued for a fee. No fee is charged for copies made on one’s own. If there is a danger of disclosure of information classified as “secret” or “top secret”, the review of files and making copies thereof shall take place in accordance with restrictions set by the president of the court or by the court. Certified copies shall not be issued unless the act of law provides otherwise. (Article 156 §§1, 2 and 4 of the Code of Criminal Procedure);</w:t>
      </w:r>
    </w:p>
    <w:p w14:paraId="6379D267" w14:textId="53D4C511" w:rsidR="008C26DC" w:rsidRPr="003C6351" w:rsidRDefault="00453E89" w:rsidP="003C6351">
      <w:pPr>
        <w:pStyle w:val="Akapitzlist"/>
        <w:numPr>
          <w:ilvl w:val="0"/>
          <w:numId w:val="6"/>
        </w:numPr>
        <w:spacing w:after="0" w:line="276" w:lineRule="auto"/>
        <w:ind w:left="426"/>
        <w:jc w:val="both"/>
        <w:rPr>
          <w:rFonts w:ascii="Times New Roman" w:hAnsi="Times New Roman" w:cs="Times New Roman"/>
          <w:sz w:val="24"/>
          <w:szCs w:val="24"/>
        </w:rPr>
      </w:pPr>
      <w:r>
        <w:rPr>
          <w:rFonts w:ascii="Times New Roman" w:hAnsi="Times New Roman"/>
          <w:color w:val="333333"/>
          <w:sz w:val="24"/>
          <w:shd w:val="clear" w:color="auto" w:fill="FFFFFF"/>
        </w:rPr>
        <w:t>The parties and persons directly affected by the decision shall be provided with one certified copy of each decision free of charge upon their request. A copy shall be issued with a statement of grounds if prepared. In cases held in camera due to important state interests, only a copy of the decision ending the proceedings in a given instance, without the statement of grounds, shall be issued to the persons referred to in § 1. A party may not be denied permission to make a copy of the transcript of an action in which the party participated or had the right to participate, as well as a document originating from them or made with their participation. (Article 157 §1, 2 and 3 of the Code of Criminal Procedure);</w:t>
      </w:r>
    </w:p>
    <w:p w14:paraId="2498FA17" w14:textId="164E5BA5" w:rsidR="00AA5D55" w:rsidRPr="003C6351" w:rsidRDefault="00AA5D55" w:rsidP="003C6351">
      <w:pPr>
        <w:pStyle w:val="Akapitzlist"/>
        <w:numPr>
          <w:ilvl w:val="0"/>
          <w:numId w:val="6"/>
        </w:numPr>
        <w:spacing w:after="0" w:line="276" w:lineRule="auto"/>
        <w:ind w:left="426"/>
        <w:jc w:val="both"/>
        <w:rPr>
          <w:rFonts w:ascii="Times New Roman" w:hAnsi="Times New Roman" w:cs="Times New Roman"/>
          <w:sz w:val="24"/>
          <w:szCs w:val="24"/>
        </w:rPr>
      </w:pPr>
      <w:r>
        <w:rPr>
          <w:rFonts w:ascii="Times New Roman" w:hAnsi="Times New Roman"/>
          <w:color w:val="333333"/>
          <w:sz w:val="24"/>
          <w:shd w:val="clear" w:color="auto" w:fill="FFFFFF"/>
        </w:rPr>
        <w:t>Before the first examination, the defendant who is under 18 years of age is given information about the course, manner and conditions of the examination. The information includes a descriptive or graphical representation of the course, manner and conditions of the examination. At least three days should elapse between the service of the information and the date of the examination, unless the good of the proceedings prevents this (Article 171 §§8 and 9 of the Code of Criminal Procedure);</w:t>
      </w:r>
    </w:p>
    <w:p w14:paraId="571E88B4" w14:textId="272C5EFA" w:rsidR="00240EA6" w:rsidRPr="003C6351" w:rsidRDefault="00240EA6" w:rsidP="003C6351">
      <w:pPr>
        <w:pStyle w:val="Akapitzlist"/>
        <w:numPr>
          <w:ilvl w:val="0"/>
          <w:numId w:val="6"/>
        </w:numPr>
        <w:spacing w:after="0" w:line="276" w:lineRule="auto"/>
        <w:ind w:left="426"/>
        <w:jc w:val="both"/>
        <w:rPr>
          <w:rFonts w:ascii="Times New Roman" w:hAnsi="Times New Roman" w:cs="Times New Roman"/>
          <w:sz w:val="24"/>
          <w:szCs w:val="24"/>
        </w:rPr>
      </w:pPr>
      <w:r>
        <w:rPr>
          <w:rFonts w:ascii="Times New Roman" w:hAnsi="Times New Roman"/>
          <w:color w:val="333333"/>
          <w:sz w:val="24"/>
          <w:shd w:val="clear" w:color="auto" w:fill="FFFFFF"/>
        </w:rPr>
        <w:t xml:space="preserve">The defendant has the right to give explanations; however, they may refuse to answer particular questions or refuse to give explanations without giving reasons. The defendant, </w:t>
      </w:r>
      <w:r>
        <w:rPr>
          <w:rFonts w:ascii="Times New Roman" w:hAnsi="Times New Roman"/>
          <w:color w:val="333333"/>
          <w:sz w:val="24"/>
          <w:shd w:val="clear" w:color="auto" w:fill="FFFFFF"/>
        </w:rPr>
        <w:lastRenderedPageBreak/>
        <w:t>who is present while evidence is taken, has the right to give explanations about any evidence. (Article 175 §§1 and 2 of the Code of Criminal Procedure);</w:t>
      </w:r>
    </w:p>
    <w:p w14:paraId="6C445BE8" w14:textId="605EA240" w:rsidR="00240EA6" w:rsidRPr="003C6351" w:rsidRDefault="00240EA6" w:rsidP="003C6351">
      <w:pPr>
        <w:pStyle w:val="Akapitzlist"/>
        <w:numPr>
          <w:ilvl w:val="0"/>
          <w:numId w:val="6"/>
        </w:numPr>
        <w:spacing w:after="0" w:line="276" w:lineRule="auto"/>
        <w:ind w:left="426"/>
        <w:jc w:val="both"/>
        <w:rPr>
          <w:rFonts w:ascii="Times New Roman" w:hAnsi="Times New Roman" w:cs="Times New Roman"/>
          <w:sz w:val="24"/>
          <w:szCs w:val="24"/>
        </w:rPr>
      </w:pPr>
      <w:r>
        <w:rPr>
          <w:rFonts w:ascii="Times New Roman" w:hAnsi="Times New Roman"/>
          <w:color w:val="333333"/>
          <w:sz w:val="24"/>
          <w:shd w:val="clear" w:color="auto" w:fill="FFFFFF"/>
        </w:rPr>
        <w:t>The defendant may file a motion at any time to revoke or modify the preventive measure; the motion shall be decided by the prosecutor at the latest within 3 days, and by the court before which the case is pending after the bill of indictment is filed with the court. (Article 254 §1 of the Code of Criminal Procedure);</w:t>
      </w:r>
    </w:p>
    <w:p w14:paraId="298359ED" w14:textId="015E5B23" w:rsidR="00FE4BDB" w:rsidRPr="003C6351" w:rsidRDefault="00C66FA6" w:rsidP="003C6351">
      <w:pPr>
        <w:pStyle w:val="Akapitzlist"/>
        <w:numPr>
          <w:ilvl w:val="0"/>
          <w:numId w:val="6"/>
        </w:numPr>
        <w:spacing w:after="0" w:line="276" w:lineRule="auto"/>
        <w:ind w:left="426"/>
        <w:jc w:val="both"/>
        <w:rPr>
          <w:rFonts w:ascii="Times New Roman" w:hAnsi="Times New Roman" w:cs="Times New Roman"/>
          <w:sz w:val="24"/>
          <w:szCs w:val="24"/>
        </w:rPr>
      </w:pPr>
      <w:r>
        <w:rPr>
          <w:rFonts w:ascii="Times New Roman" w:hAnsi="Times New Roman"/>
          <w:color w:val="333333"/>
          <w:sz w:val="24"/>
          <w:shd w:val="clear" w:color="auto" w:fill="FFFFFF"/>
        </w:rPr>
        <w:t>At least 7 days should elapse between the service of the notice and the date of the main court trial. If this time limit is not observed with respect to the defendant or their defence counsel, the trial shall be adjourned at their motion which is filed before the beginning of the court proceedings. When a defendant deprived of liberty whose presence at the trial is not mandatory is served with a notice of the trial date, they should be advised of their right to submit, within 7 days from the date of service of such a notice, a motion to bring them to the trial. A motion for bringing to trial filed after the time limit referred to in §3 shall be examined if it does not make it necessary to reschedule the trial. (Article 353 §§1, 2, 3 and 5 of the Code of Criminal Procedure);</w:t>
      </w:r>
    </w:p>
    <w:p w14:paraId="1BDAEBB0" w14:textId="2E2C632C" w:rsidR="002124E5" w:rsidRPr="00805394" w:rsidRDefault="002124E5" w:rsidP="003C6351">
      <w:pPr>
        <w:pStyle w:val="Akapitzlist"/>
        <w:numPr>
          <w:ilvl w:val="0"/>
          <w:numId w:val="6"/>
        </w:numPr>
        <w:spacing w:after="0" w:line="276" w:lineRule="auto"/>
        <w:ind w:left="426"/>
        <w:jc w:val="both"/>
        <w:rPr>
          <w:rFonts w:ascii="Times New Roman" w:hAnsi="Times New Roman" w:cs="Times New Roman"/>
          <w:sz w:val="24"/>
          <w:szCs w:val="24"/>
        </w:rPr>
      </w:pPr>
      <w:r>
        <w:rPr>
          <w:rFonts w:ascii="Times New Roman" w:hAnsi="Times New Roman"/>
          <w:color w:val="333333"/>
          <w:sz w:val="24"/>
          <w:shd w:val="clear" w:color="auto" w:fill="FFFFFF"/>
        </w:rPr>
        <w:t>The defendant has the right to participate in the trial. The presiding judge or the court may consider the presence of the defendant mandatory.</w:t>
      </w:r>
      <w:r>
        <w:rPr>
          <w:rFonts w:ascii="Times New Roman" w:hAnsi="Times New Roman"/>
          <w:sz w:val="24"/>
        </w:rPr>
        <w:t xml:space="preserve"> </w:t>
      </w:r>
      <w:r>
        <w:rPr>
          <w:rFonts w:ascii="Times New Roman" w:hAnsi="Times New Roman"/>
          <w:color w:val="333333"/>
          <w:sz w:val="24"/>
          <w:shd w:val="clear" w:color="auto" w:fill="FFFFFF"/>
        </w:rPr>
        <w:t>In felony cases, the presence of the defendant during the activities referred to in Articles 385 and 386 is mandatory.</w:t>
      </w:r>
      <w:r>
        <w:rPr>
          <w:rFonts w:ascii="Times New Roman" w:hAnsi="Times New Roman"/>
          <w:sz w:val="24"/>
        </w:rPr>
        <w:t xml:space="preserve"> </w:t>
      </w:r>
      <w:r>
        <w:rPr>
          <w:rFonts w:ascii="Times New Roman" w:hAnsi="Times New Roman"/>
          <w:color w:val="333333"/>
          <w:sz w:val="24"/>
          <w:shd w:val="clear" w:color="auto" w:fill="FFFFFF"/>
        </w:rPr>
        <w:t>The presiding judge may issue an order to prevent the defendant from leaving the courtroom before the end of the trial.</w:t>
      </w:r>
      <w:r>
        <w:rPr>
          <w:rFonts w:ascii="Times New Roman" w:hAnsi="Times New Roman"/>
          <w:sz w:val="24"/>
        </w:rPr>
        <w:t xml:space="preserve"> </w:t>
      </w:r>
      <w:r>
        <w:rPr>
          <w:rFonts w:ascii="Times New Roman" w:hAnsi="Times New Roman"/>
          <w:color w:val="333333"/>
          <w:sz w:val="24"/>
          <w:shd w:val="clear" w:color="auto" w:fill="FFFFFF"/>
        </w:rPr>
        <w:t>The presiding judge, at the request of the prosecutor, shall agrees to the prosecutor’s participation in the trial using technical devices that support remote participation in the trial with simultaneous direct transmission of video and audio unless prevented by technical considerations.</w:t>
      </w:r>
      <w:r>
        <w:rPr>
          <w:rFonts w:ascii="Times New Roman" w:hAnsi="Times New Roman"/>
          <w:sz w:val="24"/>
        </w:rPr>
        <w:t xml:space="preserve"> </w:t>
      </w:r>
      <w:r>
        <w:rPr>
          <w:rFonts w:ascii="Times New Roman" w:hAnsi="Times New Roman"/>
          <w:color w:val="333333"/>
          <w:sz w:val="24"/>
          <w:shd w:val="clear" w:color="auto" w:fill="FFFFFF"/>
        </w:rPr>
        <w:t>The presiding judge may exempt the defendant, subsidiary prosecutor or private prosecutor who are deprived of liberty from the obligation to appear at the trial if it is ensured that these parties can participate in the trial using technical devices that support remote participation in the trial with simultaneous direct video and audio transmission.</w:t>
      </w:r>
      <w:r>
        <w:rPr>
          <w:rFonts w:ascii="Times New Roman" w:hAnsi="Times New Roman"/>
          <w:sz w:val="24"/>
        </w:rPr>
        <w:t xml:space="preserve"> In such a case </w:t>
      </w:r>
      <w:r>
        <w:rPr>
          <w:rFonts w:ascii="Times New Roman" w:hAnsi="Times New Roman"/>
          <w:color w:val="333333"/>
          <w:sz w:val="24"/>
          <w:shd w:val="clear" w:color="auto" w:fill="FFFFFF"/>
        </w:rPr>
        <w:t>, a court clerk or judge assistant employed by the court in whose district the party resides, or a representative of the administration of a penitentiary facility or a remand prison if the party remains in a penitentiary facility or a remand prison shall attend the trial at the party’s place of stay.</w:t>
      </w:r>
      <w:r>
        <w:rPr>
          <w:rFonts w:ascii="Times New Roman" w:hAnsi="Times New Roman"/>
          <w:sz w:val="24"/>
        </w:rPr>
        <w:t xml:space="preserve"> </w:t>
      </w:r>
      <w:r>
        <w:rPr>
          <w:rFonts w:ascii="Times New Roman" w:hAnsi="Times New Roman"/>
          <w:color w:val="333333"/>
          <w:sz w:val="24"/>
          <w:shd w:val="clear" w:color="auto" w:fill="FFFFFF"/>
        </w:rPr>
        <w:t>A defence counsel shall participate in the trial conducted in the manner specified in § 4 at the defendant’s place of stay, unless they appear in court for this purpose</w:t>
      </w:r>
      <w:r>
        <w:rPr>
          <w:rFonts w:ascii="Times New Roman" w:hAnsi="Times New Roman"/>
          <w:sz w:val="24"/>
        </w:rPr>
        <w:t xml:space="preserve">. </w:t>
      </w:r>
      <w:r>
        <w:rPr>
          <w:rFonts w:ascii="Times New Roman" w:hAnsi="Times New Roman"/>
          <w:color w:val="333333"/>
          <w:sz w:val="24"/>
          <w:shd w:val="clear" w:color="auto" w:fill="FFFFFF"/>
        </w:rPr>
        <w:t>If the defence counsel participates in the trial while residing in a different place than the defendant, the court, at the motion of the defendant or the defence counsel, may order a recess for a specified period of time in order to continue the trial on the same day, to allow telephone contact between the defence counsel and the defendant, unless the filing of the motion clearly is not conducive to performance of the right to defence, and in particular aims to disrupt or unreasonably prolong the trial.</w:t>
      </w:r>
      <w:r>
        <w:rPr>
          <w:rFonts w:ascii="Times New Roman" w:hAnsi="Times New Roman"/>
          <w:sz w:val="24"/>
        </w:rPr>
        <w:t xml:space="preserve"> </w:t>
      </w:r>
      <w:r>
        <w:rPr>
          <w:rFonts w:ascii="Times New Roman" w:hAnsi="Times New Roman"/>
          <w:color w:val="333333"/>
          <w:sz w:val="24"/>
          <w:shd w:val="clear" w:color="auto" w:fill="FFFFFF"/>
        </w:rPr>
        <w:t>If there is a need for an interpreter to participate in a trial conducted in the manner specified in § 4, the interpreter shall participate in the trial at the place of stay of the defendant who is not sufficiently proficient in Polish, or at the place of stay of the person to whom the circumstances specified in Article 204 § 1.1 apply, unless the presiding judge orders otherwise.</w:t>
      </w:r>
      <w:r>
        <w:rPr>
          <w:rFonts w:ascii="Times New Roman" w:hAnsi="Times New Roman"/>
          <w:sz w:val="24"/>
        </w:rPr>
        <w:t xml:space="preserve"> (Article 374 §§1 – 8 of the Code of Criminal Procedure)</w:t>
      </w:r>
    </w:p>
    <w:p w14:paraId="01780E3E" w14:textId="0DC64F82" w:rsidR="00805394" w:rsidRPr="00805394" w:rsidRDefault="00805394" w:rsidP="00805394">
      <w:pPr>
        <w:pStyle w:val="Akapitzlist"/>
        <w:numPr>
          <w:ilvl w:val="0"/>
          <w:numId w:val="6"/>
        </w:numPr>
        <w:shd w:val="clear" w:color="auto" w:fill="FFFFFF"/>
        <w:spacing w:before="72" w:after="0" w:line="240" w:lineRule="auto"/>
        <w:ind w:left="426" w:hanging="66"/>
        <w:jc w:val="both"/>
        <w:rPr>
          <w:rFonts w:ascii="Times New Roman" w:eastAsia="Times New Roman" w:hAnsi="Times New Roman" w:cs="Times New Roman"/>
          <w:color w:val="333333"/>
          <w:sz w:val="24"/>
          <w:szCs w:val="24"/>
        </w:rPr>
      </w:pPr>
      <w:r>
        <w:rPr>
          <w:rFonts w:ascii="Times New Roman" w:hAnsi="Times New Roman"/>
          <w:color w:val="333333"/>
          <w:sz w:val="24"/>
        </w:rPr>
        <w:t xml:space="preserve"> If the presiding judge, when ordering the adjournment of the trial, designates the time and place for the continuation of the trial, the persons present at the adjourned trial whose </w:t>
      </w:r>
      <w:r>
        <w:rPr>
          <w:rFonts w:ascii="Times New Roman" w:hAnsi="Times New Roman"/>
          <w:color w:val="333333"/>
          <w:sz w:val="24"/>
        </w:rPr>
        <w:lastRenderedPageBreak/>
        <w:t>presence was mandatory shall appear at the new date without being summoned. Persons entitled to appear do not have to be notified of the new date, even if they did not attend the adjourned trial (Article 402 § 1).</w:t>
      </w:r>
    </w:p>
    <w:p w14:paraId="77E54A40" w14:textId="77777777" w:rsidR="00805394" w:rsidRPr="003C6351" w:rsidRDefault="00805394" w:rsidP="00805394">
      <w:pPr>
        <w:pStyle w:val="Akapitzlist"/>
        <w:spacing w:after="0" w:line="276" w:lineRule="auto"/>
        <w:ind w:left="426"/>
        <w:jc w:val="both"/>
        <w:rPr>
          <w:rFonts w:ascii="Times New Roman" w:hAnsi="Times New Roman" w:cs="Times New Roman"/>
          <w:sz w:val="24"/>
          <w:szCs w:val="24"/>
        </w:rPr>
      </w:pPr>
    </w:p>
    <w:p w14:paraId="3E315941" w14:textId="6AAD4538" w:rsidR="00E82F2D" w:rsidRPr="003C6351" w:rsidRDefault="00E82F2D" w:rsidP="003C6351">
      <w:pPr>
        <w:spacing w:after="0" w:line="276" w:lineRule="auto"/>
        <w:jc w:val="both"/>
        <w:rPr>
          <w:rFonts w:ascii="Times New Roman" w:hAnsi="Times New Roman" w:cs="Times New Roman"/>
          <w:sz w:val="24"/>
          <w:szCs w:val="24"/>
        </w:rPr>
      </w:pPr>
    </w:p>
    <w:p w14:paraId="39996D70" w14:textId="2E46A7A5" w:rsidR="00E82F2D" w:rsidRPr="003C6351" w:rsidRDefault="00E82F2D" w:rsidP="003C6351">
      <w:pPr>
        <w:spacing w:after="0" w:line="276" w:lineRule="auto"/>
        <w:jc w:val="both"/>
        <w:rPr>
          <w:rFonts w:ascii="Times New Roman" w:hAnsi="Times New Roman" w:cs="Times New Roman"/>
          <w:sz w:val="24"/>
          <w:szCs w:val="24"/>
          <w:u w:val="single"/>
        </w:rPr>
      </w:pPr>
      <w:r>
        <w:rPr>
          <w:rFonts w:ascii="Times New Roman" w:hAnsi="Times New Roman"/>
          <w:sz w:val="24"/>
          <w:u w:val="single"/>
        </w:rPr>
        <w:t>The defendant is obliged to do the following:</w:t>
      </w:r>
    </w:p>
    <w:p w14:paraId="7DA8642B" w14:textId="77777777" w:rsidR="00E3090D" w:rsidRPr="003C6351" w:rsidRDefault="00E3090D" w:rsidP="003C6351">
      <w:pPr>
        <w:pStyle w:val="Akapitzlist"/>
        <w:numPr>
          <w:ilvl w:val="0"/>
          <w:numId w:val="7"/>
        </w:numPr>
        <w:spacing w:after="0" w:line="276" w:lineRule="auto"/>
        <w:ind w:left="426"/>
        <w:jc w:val="both"/>
        <w:rPr>
          <w:rFonts w:ascii="Times New Roman" w:hAnsi="Times New Roman" w:cs="Times New Roman"/>
          <w:sz w:val="24"/>
          <w:szCs w:val="24"/>
          <w:u w:val="single"/>
        </w:rPr>
      </w:pPr>
      <w:r>
        <w:rPr>
          <w:rFonts w:ascii="Times New Roman" w:hAnsi="Times New Roman"/>
          <w:color w:val="333333"/>
          <w:sz w:val="24"/>
          <w:shd w:val="clear" w:color="auto" w:fill="FFFFFF"/>
        </w:rPr>
        <w:t>The defendant is obliged to submit themselves:</w:t>
      </w:r>
    </w:p>
    <w:p w14:paraId="3483B978" w14:textId="77777777" w:rsidR="00E3090D" w:rsidRPr="003C6351" w:rsidRDefault="00E3090D" w:rsidP="003C6351">
      <w:pPr>
        <w:pStyle w:val="Akapitzlist"/>
        <w:numPr>
          <w:ilvl w:val="0"/>
          <w:numId w:val="8"/>
        </w:numPr>
        <w:spacing w:after="0" w:line="276" w:lineRule="auto"/>
        <w:ind w:left="709"/>
        <w:jc w:val="both"/>
        <w:rPr>
          <w:rFonts w:ascii="Times New Roman" w:hAnsi="Times New Roman" w:cs="Times New Roman"/>
          <w:sz w:val="24"/>
          <w:szCs w:val="24"/>
          <w:u w:val="single"/>
        </w:rPr>
      </w:pPr>
      <w:r>
        <w:rPr>
          <w:rFonts w:ascii="Times New Roman" w:hAnsi="Times New Roman"/>
          <w:color w:val="333333"/>
          <w:sz w:val="24"/>
        </w:rPr>
        <w:t>to external examination of the body and other examinations that do not involve violation of bodily integrity; in particular prints may be taken from the defendant, the defendant may be photographed and shown to other persons for identification purposes;</w:t>
      </w:r>
    </w:p>
    <w:p w14:paraId="189C2B27" w14:textId="68D4A017" w:rsidR="00E3090D" w:rsidRPr="003C6351" w:rsidRDefault="00E3090D" w:rsidP="003C6351">
      <w:pPr>
        <w:pStyle w:val="Akapitzlist"/>
        <w:numPr>
          <w:ilvl w:val="0"/>
          <w:numId w:val="8"/>
        </w:numPr>
        <w:spacing w:after="0" w:line="276" w:lineRule="auto"/>
        <w:ind w:left="709"/>
        <w:jc w:val="both"/>
        <w:rPr>
          <w:rFonts w:ascii="Times New Roman" w:hAnsi="Times New Roman" w:cs="Times New Roman"/>
          <w:sz w:val="24"/>
          <w:szCs w:val="24"/>
          <w:u w:val="single"/>
        </w:rPr>
      </w:pPr>
      <w:r>
        <w:rPr>
          <w:rFonts w:ascii="Times New Roman" w:hAnsi="Times New Roman"/>
          <w:color w:val="333333"/>
          <w:sz w:val="24"/>
        </w:rPr>
        <w:t>to psychological and psychiatric examinations, as well as examinations combined with performance of procedures on their body, with the exception of surgery, provided that they are performed by an authorized health care professional in accordance with medical knowledge and do not endanger the health of the defendant if performance of such examinations is indispensable; in particular, the defendant is obliged to submit to drawing of blood, hair or bodily secretions under such conditions;</w:t>
      </w:r>
    </w:p>
    <w:p w14:paraId="3C6BFBC6" w14:textId="400E72F0" w:rsidR="00E3090D" w:rsidRPr="003C6351" w:rsidRDefault="00E3090D" w:rsidP="003C6351">
      <w:pPr>
        <w:pStyle w:val="Akapitzlist"/>
        <w:numPr>
          <w:ilvl w:val="0"/>
          <w:numId w:val="8"/>
        </w:numPr>
        <w:spacing w:after="0" w:line="276" w:lineRule="auto"/>
        <w:ind w:left="709"/>
        <w:jc w:val="both"/>
        <w:rPr>
          <w:rFonts w:ascii="Times New Roman" w:hAnsi="Times New Roman" w:cs="Times New Roman"/>
          <w:sz w:val="24"/>
          <w:szCs w:val="24"/>
        </w:rPr>
      </w:pPr>
      <w:r>
        <w:rPr>
          <w:rFonts w:ascii="Times New Roman" w:hAnsi="Times New Roman"/>
          <w:color w:val="333333"/>
          <w:sz w:val="24"/>
        </w:rPr>
        <w:t>to a buccal swab by a police officer if it is indispensable and there is no fear that it would endanger the health of the defendant or others.</w:t>
      </w:r>
    </w:p>
    <w:p w14:paraId="055C4033" w14:textId="779E967B" w:rsidR="00E3090D" w:rsidRPr="003C6351" w:rsidRDefault="00E3090D" w:rsidP="003C6351">
      <w:pPr>
        <w:pStyle w:val="Akapitzlist"/>
        <w:spacing w:after="0" w:line="276" w:lineRule="auto"/>
        <w:ind w:left="426"/>
        <w:jc w:val="both"/>
        <w:rPr>
          <w:rFonts w:ascii="Times New Roman" w:hAnsi="Times New Roman" w:cs="Times New Roman"/>
          <w:sz w:val="24"/>
          <w:szCs w:val="24"/>
        </w:rPr>
      </w:pPr>
      <w:r>
        <w:rPr>
          <w:rFonts w:ascii="Times New Roman" w:hAnsi="Times New Roman"/>
          <w:color w:val="333333"/>
          <w:sz w:val="24"/>
          <w:shd w:val="clear" w:color="auto" w:fill="FFFFFF"/>
        </w:rPr>
        <w:t>If the defendant refuses to comply with such obligations, the defendant may be detained and forcibly brought, and physical force or technical means of incapacitation may be used against the defendant to the extent necessary to carry out the action in question.</w:t>
      </w:r>
      <w:r>
        <w:rPr>
          <w:rFonts w:ascii="Times New Roman" w:hAnsi="Times New Roman"/>
          <w:sz w:val="24"/>
        </w:rPr>
        <w:t xml:space="preserve"> (Article 74 §§2, 3a of the Code of Criminal Procedure)</w:t>
      </w:r>
    </w:p>
    <w:p w14:paraId="73091F97" w14:textId="577781E6" w:rsidR="00E82F2D" w:rsidRPr="003C6351" w:rsidRDefault="00E3090D" w:rsidP="003C6351">
      <w:pPr>
        <w:pStyle w:val="Akapitzlist"/>
        <w:numPr>
          <w:ilvl w:val="0"/>
          <w:numId w:val="7"/>
        </w:numPr>
        <w:spacing w:before="240" w:after="0" w:line="276" w:lineRule="auto"/>
        <w:ind w:left="426"/>
        <w:jc w:val="both"/>
        <w:rPr>
          <w:rFonts w:ascii="Times New Roman" w:hAnsi="Times New Roman" w:cs="Times New Roman"/>
          <w:sz w:val="24"/>
          <w:szCs w:val="24"/>
        </w:rPr>
      </w:pPr>
      <w:r>
        <w:rPr>
          <w:rFonts w:ascii="Times New Roman" w:hAnsi="Times New Roman"/>
          <w:color w:val="333333"/>
          <w:sz w:val="24"/>
          <w:shd w:val="clear" w:color="auto" w:fill="FFFFFF"/>
        </w:rPr>
        <w:t>The defendant shall notify the authority conducting the proceedings of any change in their place of residence or stay of more than 7 days, including due to deprivation of liberty in another case, as well as of any change in the contact details mentioned in Article 213 § 1 of which they know to be known to the authority conducting the proceedings. In addition, the defendant shall appear at every summons during criminal proceedings. In the event of an unexcused failure to appear, the defendant may be detained and forcibly brought in. (Article 75 §§1 and 2 of the Code of Criminal Procedure). If a party, without providing a new address, changes their place of residence or does not reside at the address they have indicated, also due to deprivation of liberty in another case, a letter sent to that address shall be considered delivered. This also applies to a party who has requested that service be made to the address of a designated post office box and has failed to notify the authority of a change in this address or the cessation of its use (Article 139 §1 of the Code of Criminal Procedure);</w:t>
      </w:r>
    </w:p>
    <w:p w14:paraId="481FC7F2" w14:textId="1540149D" w:rsidR="00266201" w:rsidRPr="003C6351" w:rsidRDefault="00514989" w:rsidP="003C6351">
      <w:pPr>
        <w:pStyle w:val="Akapitzlist"/>
        <w:numPr>
          <w:ilvl w:val="0"/>
          <w:numId w:val="7"/>
        </w:numPr>
        <w:spacing w:before="240" w:after="0" w:line="276" w:lineRule="auto"/>
        <w:ind w:left="426"/>
        <w:jc w:val="both"/>
        <w:rPr>
          <w:rFonts w:ascii="Times New Roman" w:hAnsi="Times New Roman" w:cs="Times New Roman"/>
          <w:sz w:val="24"/>
          <w:szCs w:val="24"/>
        </w:rPr>
      </w:pPr>
      <w:r>
        <w:rPr>
          <w:rFonts w:ascii="Times New Roman" w:hAnsi="Times New Roman"/>
          <w:color w:val="333333"/>
          <w:sz w:val="24"/>
          <w:shd w:val="clear" w:color="auto" w:fill="FFFFFF"/>
        </w:rPr>
        <w:t xml:space="preserve">A person entitled to participate in a procedural action shall be notified of its time and place, unless otherwise provided by law. An activity shall not be carried out if the authorized person did not appear and there is no evidence that they were notified of it, and if there is a reasonable suspicion that the failure to appear was due to natural obstacles or other exceptional reasons, and also when the person duly excused their failure to appear and requests that the activity not be carried out without their presence, unless otherwise provided by law. Excuses for non-appearance due to illness of the defendants whose presence was mandatory or who requested admission to the activity, being entitled to participate in it, shall require the presentation of a certificate confirming the inability to </w:t>
      </w:r>
      <w:r>
        <w:rPr>
          <w:rFonts w:ascii="Times New Roman" w:hAnsi="Times New Roman"/>
          <w:color w:val="333333"/>
          <w:sz w:val="24"/>
          <w:shd w:val="clear" w:color="auto" w:fill="FFFFFF"/>
        </w:rPr>
        <w:lastRenderedPageBreak/>
        <w:t xml:space="preserve">attend the summons or notice of the authority conducting the proceedings, issued by a court physician. This provision shall not apply to persons deprived of liberty subject to the rules for excusing non-appearance that are regulated by separate </w:t>
      </w:r>
      <w:r>
        <w:rPr>
          <w:rFonts w:ascii="Times New Roman" w:hAnsi="Times New Roman"/>
          <w:sz w:val="24"/>
          <w:shd w:val="clear" w:color="auto" w:fill="FFFFFF"/>
        </w:rPr>
        <w:t>provisions of the law</w:t>
      </w:r>
      <w:r>
        <w:rPr>
          <w:rFonts w:ascii="Times New Roman" w:hAnsi="Times New Roman"/>
          <w:color w:val="333333"/>
          <w:sz w:val="24"/>
          <w:shd w:val="clear" w:color="auto" w:fill="FFFFFF"/>
        </w:rPr>
        <w:t>. If a party, defence counsel or attorney whose appearance is mandatory fails to appear, the procedural action shall not be carried out, unless otherwise provided by the act of law. Failure to appear of a party who has been duly notified of a procedural action, regardless of the reason for it, shall not prevent the conduct of the action if their defence counsel or attorney has appeared. This shall not apply to an activity which must be attended by the party. (Article 117 §§1, 2, 2a, 3, 3a, 5 of the Code of Criminal Procedure);</w:t>
      </w:r>
    </w:p>
    <w:p w14:paraId="47AA1E02" w14:textId="036BE24F" w:rsidR="00514989" w:rsidRPr="003C6351" w:rsidRDefault="00514989" w:rsidP="003C6351">
      <w:pPr>
        <w:pStyle w:val="Akapitzlist"/>
        <w:numPr>
          <w:ilvl w:val="0"/>
          <w:numId w:val="7"/>
        </w:numPr>
        <w:spacing w:before="240" w:after="0" w:line="276" w:lineRule="auto"/>
        <w:ind w:left="426"/>
        <w:jc w:val="both"/>
        <w:rPr>
          <w:rFonts w:ascii="Times New Roman" w:hAnsi="Times New Roman" w:cs="Times New Roman"/>
          <w:sz w:val="24"/>
          <w:szCs w:val="24"/>
        </w:rPr>
      </w:pPr>
      <w:r>
        <w:rPr>
          <w:rFonts w:ascii="Times New Roman" w:hAnsi="Times New Roman"/>
          <w:color w:val="333333"/>
          <w:sz w:val="24"/>
          <w:shd w:val="clear" w:color="auto" w:fill="FFFFFF"/>
        </w:rPr>
        <w:t>Each pleading addressed to the Court should contain the designation of the authority to which it is addressed and the case which it relates to, the designation and address of the party filing the pleading, and – in the first pleading filed in the case – the telephone number, fax number and e-mail address or a statement of absence of such means of communication, the content of the motion or statement, with statement of grounds if necessary, and the date and signature of the party filing the pleading. If a person cannot sign the document, the document shall be signed by a person authorized by such a person, indicating the reason for placing the signature (Article 119 §§1 and 2 of the Code of Criminal Procedure);</w:t>
      </w:r>
    </w:p>
    <w:p w14:paraId="5CD5A9DE" w14:textId="5D6AD0F3" w:rsidR="00485C27" w:rsidRPr="003C6351" w:rsidRDefault="0049512F" w:rsidP="003C6351">
      <w:pPr>
        <w:pStyle w:val="Akapitzlist"/>
        <w:numPr>
          <w:ilvl w:val="0"/>
          <w:numId w:val="7"/>
        </w:numPr>
        <w:spacing w:before="240" w:after="0" w:line="276" w:lineRule="auto"/>
        <w:ind w:left="426"/>
        <w:jc w:val="both"/>
        <w:rPr>
          <w:rFonts w:ascii="Times New Roman" w:hAnsi="Times New Roman" w:cs="Times New Roman"/>
          <w:sz w:val="24"/>
          <w:szCs w:val="24"/>
        </w:rPr>
      </w:pPr>
      <w:r>
        <w:rPr>
          <w:rFonts w:ascii="Times New Roman" w:hAnsi="Times New Roman"/>
          <w:color w:val="333333"/>
          <w:sz w:val="24"/>
          <w:shd w:val="clear" w:color="auto" w:fill="FFFFFF"/>
        </w:rPr>
        <w:t>If the defendant whose presence at the trial is mandatory has already given explanations and left the courtroom without permission from the presiding judge, the court may continue the trial despite the absence of the defendant. The court shall order the detention and forcible bringing of the defendant if it deems their presence necessary. The decision on detention and forced bringing of the defendant may be appealed to another equivalent panel of the court.</w:t>
      </w:r>
      <w:r>
        <w:rPr>
          <w:rFonts w:ascii="Times New Roman" w:hAnsi="Times New Roman"/>
          <w:sz w:val="24"/>
        </w:rPr>
        <w:t xml:space="preserve"> </w:t>
      </w:r>
      <w:r>
        <w:rPr>
          <w:rFonts w:ascii="Times New Roman" w:hAnsi="Times New Roman"/>
          <w:color w:val="333333"/>
          <w:sz w:val="24"/>
          <w:shd w:val="clear" w:color="auto" w:fill="FFFFFF"/>
        </w:rPr>
        <w:t>The provision of § 1 shall apply accordingly if the defendant whose presence at the trial is mandatory, having given the explanations, and being notified of the date of the adjourned or interrupted trial, failed to appear at the trial without an excuse.</w:t>
      </w:r>
      <w:r>
        <w:rPr>
          <w:rFonts w:ascii="Times New Roman" w:hAnsi="Times New Roman"/>
          <w:sz w:val="24"/>
        </w:rPr>
        <w:t xml:space="preserve"> </w:t>
      </w:r>
      <w:r>
        <w:rPr>
          <w:rFonts w:ascii="Times New Roman" w:hAnsi="Times New Roman"/>
          <w:color w:val="333333"/>
          <w:sz w:val="24"/>
          <w:shd w:val="clear" w:color="auto" w:fill="FFFFFF"/>
        </w:rPr>
        <w:t>If a co-defendant who excused their non-appearance does not appear at the adjourned or interrupted trial, the court may conduct the trial to the extent not directly concerning the absent defendant if this does not restrict their right to defence.</w:t>
      </w:r>
      <w:r>
        <w:rPr>
          <w:rFonts w:ascii="Times New Roman" w:hAnsi="Times New Roman"/>
          <w:sz w:val="24"/>
        </w:rPr>
        <w:t xml:space="preserve"> (Article 376 §§1, 2 and 3 of the Code of Criminal Procedure);</w:t>
      </w:r>
    </w:p>
    <w:p w14:paraId="65DED3D1" w14:textId="7BDCB550" w:rsidR="0049512F" w:rsidRPr="003C6351" w:rsidRDefault="0049512F" w:rsidP="003C6351">
      <w:pPr>
        <w:pStyle w:val="Akapitzlist"/>
        <w:numPr>
          <w:ilvl w:val="0"/>
          <w:numId w:val="7"/>
        </w:numPr>
        <w:spacing w:before="240" w:after="0" w:line="276" w:lineRule="auto"/>
        <w:ind w:left="426"/>
        <w:jc w:val="both"/>
        <w:rPr>
          <w:rFonts w:ascii="Times New Roman" w:hAnsi="Times New Roman" w:cs="Times New Roman"/>
          <w:sz w:val="24"/>
          <w:szCs w:val="24"/>
        </w:rPr>
      </w:pPr>
      <w:r>
        <w:rPr>
          <w:rFonts w:ascii="Times New Roman" w:hAnsi="Times New Roman"/>
          <w:color w:val="333333"/>
          <w:sz w:val="24"/>
          <w:shd w:val="clear" w:color="auto" w:fill="FFFFFF"/>
        </w:rPr>
        <w:t xml:space="preserve">If the defendant is, through their own fault, in a condition that makes them incapable of participating in a trial or hearing in which their participation is mandatory, the court may decide to conduct the proceedings despite their absence, even if they have not yet given the explanations. Before such an order is issued, the court shall review the testimony of the doctor who has established the state of such incapacity or question them as an expert. The condition rendering the defendant incapable of participating in the trial can also be determined on the basis of an examination that does not involve violation of bodily integrity, carried out with a suitable device. If the defendant whose presence at the trial or hearing is mandatory, when notified of the date of the trial or hearing, declares that they will not attend the trial or hearing, makes it impossible to bring the defendant to the trial or hearing, or when notified personally does not appear at the trial or hearing without an excuse, the court may conduct the proceedings without their participation; however, the court may order that the defendant be detained and forcibly brought to the trial or hearing. The decision on detention and forcible bringing of the defendant may be appealed to another equivalent panel of the court. If the defendant has not yet given explanations to the </w:t>
      </w:r>
      <w:r>
        <w:rPr>
          <w:rFonts w:ascii="Times New Roman" w:hAnsi="Times New Roman"/>
          <w:color w:val="333333"/>
          <w:sz w:val="24"/>
          <w:shd w:val="clear" w:color="auto" w:fill="FFFFFF"/>
        </w:rPr>
        <w:lastRenderedPageBreak/>
        <w:t>court, Article 396 § 2 may be applied or the court may considered sufficient reading of the explanations already given. The defendant may be examined using the means referred to in Article 177 § 1a. (Article 377 §§1, 2, 3 and 4 of the Code of Criminal Procedure);</w:t>
      </w:r>
    </w:p>
    <w:p w14:paraId="0B058E78" w14:textId="2218E0B7" w:rsidR="0049512F" w:rsidRPr="003C6351" w:rsidRDefault="00742E9C" w:rsidP="003C6351">
      <w:pPr>
        <w:pStyle w:val="Akapitzlist"/>
        <w:numPr>
          <w:ilvl w:val="0"/>
          <w:numId w:val="7"/>
        </w:numPr>
        <w:spacing w:before="240" w:after="0" w:line="276" w:lineRule="auto"/>
        <w:ind w:left="426"/>
        <w:jc w:val="both"/>
        <w:rPr>
          <w:rFonts w:ascii="Times New Roman" w:hAnsi="Times New Roman" w:cs="Times New Roman"/>
          <w:sz w:val="24"/>
          <w:szCs w:val="24"/>
        </w:rPr>
      </w:pPr>
      <w:r>
        <w:rPr>
          <w:rFonts w:ascii="Times New Roman" w:hAnsi="Times New Roman"/>
          <w:color w:val="333333"/>
          <w:sz w:val="24"/>
          <w:shd w:val="clear" w:color="auto" w:fill="FFFFFF"/>
        </w:rPr>
        <w:t>If the defendant or defence counsel fails to appear at the trial, having been notified of its date, the court, in particularly justified cases, may conduct evidentiary proceedings in their absence, even though they duly excuse their failure to appear, and in particular examine witnesses who appeared at the trial, even if the defendant has not yet given explanations. In such a case, the defendant or defence counsel should be summoned or notified of the new trial date if the date was not known to them. If the court conducted evidentiary proceedings in the absence of the defendant or defence counsel in the aforementioned case, the defendant or defence counsel may, at the latest at the next trial date of which they are duly notified while there are no procedural obstacles to their appearance, file a motion for supplementary examination of evidence conducted in their absence. The right to file a motion shall not be granted if it turns out that the absence of the defendant or defence counsel at the trial date at which evidentiary proceedings were conducted on the aforementioned grounds was unexcused. If such a motion is not submitted in time, the right to submit it expires and the allegation of violation of procedural guarantees cannot be raised in further proceedings, in particular the right to defence, as a result of examining the evidence in the absence of the defendant or defence counsel. In the motion for supplementary examination of evidence the defendant or defence counsel shall demonstrate that the manner in which the evidence was examined in their absence violated procedural guarantees, in particular the right to defence. If the motion for supplementary examination of evidence is admitted, the court shall conduct supplementary examination of evidence only to the extent that a violation of procedural guarantees, in particular the right to a defence, is demonstrated. If the defendant or defence counsel appears at the aforementioned trial date, the presiding judge shall instruct them of the option to file a motion for supplementary examination of evidence carried out in their absence, and give them an opportunity to comment on the issue. (Article 378a §§1 – 7 of the Code of Criminal Procedure);</w:t>
      </w:r>
    </w:p>
    <w:p w14:paraId="352B232E" w14:textId="2498B005" w:rsidR="0049512F" w:rsidRPr="003C6351" w:rsidRDefault="00742E9C" w:rsidP="003C6351">
      <w:pPr>
        <w:pStyle w:val="Akapitzlist"/>
        <w:numPr>
          <w:ilvl w:val="0"/>
          <w:numId w:val="7"/>
        </w:numPr>
        <w:spacing w:before="240" w:after="0" w:line="276" w:lineRule="auto"/>
        <w:ind w:left="426"/>
        <w:jc w:val="both"/>
        <w:rPr>
          <w:rFonts w:ascii="Times New Roman" w:hAnsi="Times New Roman" w:cs="Times New Roman"/>
          <w:sz w:val="24"/>
          <w:szCs w:val="24"/>
        </w:rPr>
      </w:pPr>
      <w:r>
        <w:rPr>
          <w:rFonts w:ascii="Times New Roman" w:hAnsi="Times New Roman"/>
          <w:color w:val="333333"/>
          <w:sz w:val="24"/>
          <w:shd w:val="clear" w:color="auto" w:fill="FFFFFF"/>
        </w:rPr>
        <w:t>The non-appearance of the parties, their defence counsels and attorneys shall not prevent the announcement of the judgment (Article 419 §1 of the Code of Criminal Procedure);</w:t>
      </w:r>
    </w:p>
    <w:p w14:paraId="4B32050F" w14:textId="030B6976" w:rsidR="0049512F" w:rsidRPr="003C6351" w:rsidRDefault="00031903" w:rsidP="003C6351">
      <w:pPr>
        <w:pStyle w:val="Akapitzlist"/>
        <w:numPr>
          <w:ilvl w:val="0"/>
          <w:numId w:val="7"/>
        </w:numPr>
        <w:spacing w:before="240" w:after="0" w:line="276" w:lineRule="auto"/>
        <w:ind w:left="426"/>
        <w:jc w:val="both"/>
        <w:rPr>
          <w:rFonts w:ascii="Times New Roman" w:hAnsi="Times New Roman" w:cs="Times New Roman"/>
          <w:sz w:val="24"/>
          <w:szCs w:val="24"/>
        </w:rPr>
      </w:pPr>
      <w:r>
        <w:rPr>
          <w:rFonts w:ascii="Times New Roman" w:hAnsi="Times New Roman"/>
          <w:color w:val="333333"/>
          <w:sz w:val="24"/>
          <w:shd w:val="clear" w:color="auto" w:fill="FFFFFF"/>
        </w:rPr>
        <w:t xml:space="preserve">Within the final time limit of 7 days from the date of pronouncement of the judgment, a party, and in the case of a judgment that conditionally discontinues the proceedings issued at a hearing, also the wronged party, may file a motion for a statement of grounds to be prepared in writing and served. Preparation of a statement of grounds ex officio shall not exempt a party and the wronged party from filing a motion for service of the statement of grounds. The motion shall be submitted in writing. The motion may also be made by the obliged entity specified in Article 91a. The motion should specify whether it concerns the entire judgment or some of the acts that the prosecutor accused the defendant of, or only the decision on the sentence and other legal consequences of the act. A motion that is not filed by the defendant should also identify the defendant to whom it relates. For a defendant deprived of liberty who does not have a defence counsel and – despite a motion submitted for the defendant to be brought to the trial date at which the judgment was announced – was not present at the announcement of the judgment, the 7-day period shall run from the </w:t>
      </w:r>
      <w:r>
        <w:rPr>
          <w:rFonts w:ascii="Times New Roman" w:hAnsi="Times New Roman"/>
          <w:color w:val="333333"/>
          <w:sz w:val="24"/>
          <w:shd w:val="clear" w:color="auto" w:fill="FFFFFF"/>
        </w:rPr>
        <w:lastRenderedPageBreak/>
        <w:t>date the judgment was served on them. The president of the court shall refuse to accept a motion filed by an unauthorized person, after the time limit, or if the circumstances referred to in Article 120 §2 occur. The order is subject to complaint. This order may also be issued by the court clerk. (Article 422 §§1 – 4 of the Code of Criminal Procedure);</w:t>
      </w:r>
    </w:p>
    <w:p w14:paraId="1809CA29" w14:textId="760A94CA" w:rsidR="0049512F" w:rsidRPr="003C6351" w:rsidRDefault="00031903" w:rsidP="003C6351">
      <w:pPr>
        <w:pStyle w:val="Akapitzlist"/>
        <w:numPr>
          <w:ilvl w:val="0"/>
          <w:numId w:val="7"/>
        </w:numPr>
        <w:spacing w:before="240" w:after="0" w:line="276" w:lineRule="auto"/>
        <w:ind w:left="426"/>
        <w:jc w:val="both"/>
        <w:rPr>
          <w:rFonts w:ascii="Times New Roman" w:hAnsi="Times New Roman" w:cs="Times New Roman"/>
          <w:sz w:val="24"/>
          <w:szCs w:val="24"/>
        </w:rPr>
      </w:pPr>
      <w:r>
        <w:rPr>
          <w:rFonts w:ascii="Times New Roman" w:hAnsi="Times New Roman"/>
          <w:color w:val="333333"/>
          <w:sz w:val="24"/>
          <w:shd w:val="clear" w:color="auto" w:fill="FFFFFF"/>
        </w:rPr>
        <w:t>An appeal cannot be based on allegations of error in the factual findings adopted as the basis of the decision if it could have affected the content of the decision, as well as gross disproportionality of the sentence, punitive measure, penalty assessment or wrongful application or non-application of a protective measure, forfeiture or another measure, related to the content of the concluded agreement referred to in Article 343, Article 343a and Article 387 (Article 447 §5 of the Code of Criminal Procedure).</w:t>
      </w:r>
    </w:p>
    <w:sectPr w:rsidR="0049512F" w:rsidRPr="003C6351" w:rsidSect="0099188A">
      <w:footerReference w:type="default" r:id="rId7"/>
      <w:pgSz w:w="11905" w:h="16832"/>
      <w:pgMar w:top="1418" w:right="1134" w:bottom="1418" w:left="1701" w:header="567" w:footer="567"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3533F" w14:textId="77777777" w:rsidR="0099188A" w:rsidRDefault="0099188A" w:rsidP="0099188A">
      <w:pPr>
        <w:spacing w:after="0" w:line="240" w:lineRule="auto"/>
      </w:pPr>
      <w:r>
        <w:separator/>
      </w:r>
    </w:p>
  </w:endnote>
  <w:endnote w:type="continuationSeparator" w:id="0">
    <w:p w14:paraId="3C884ED6" w14:textId="77777777" w:rsidR="0099188A" w:rsidRDefault="0099188A" w:rsidP="00991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5431663"/>
      <w:docPartObj>
        <w:docPartGallery w:val="Page Numbers (Bottom of Page)"/>
        <w:docPartUnique/>
      </w:docPartObj>
    </w:sdtPr>
    <w:sdtEndPr>
      <w:rPr>
        <w:rFonts w:ascii="Times New Roman" w:hAnsi="Times New Roman" w:cs="Times New Roman"/>
        <w:sz w:val="24"/>
        <w:szCs w:val="24"/>
      </w:rPr>
    </w:sdtEndPr>
    <w:sdtContent>
      <w:p w14:paraId="17218902" w14:textId="3668938E" w:rsidR="0099188A" w:rsidRPr="0099188A" w:rsidRDefault="0099188A" w:rsidP="0099188A">
        <w:pPr>
          <w:pStyle w:val="Stopka"/>
          <w:jc w:val="right"/>
          <w:rPr>
            <w:rFonts w:ascii="Times New Roman" w:hAnsi="Times New Roman" w:cs="Times New Roman"/>
            <w:sz w:val="24"/>
            <w:szCs w:val="24"/>
          </w:rPr>
        </w:pPr>
        <w:r w:rsidRPr="0099188A">
          <w:rPr>
            <w:rFonts w:ascii="Times New Roman" w:hAnsi="Times New Roman" w:cs="Times New Roman"/>
            <w:sz w:val="24"/>
          </w:rPr>
          <w:fldChar w:fldCharType="begin"/>
        </w:r>
        <w:r w:rsidRPr="0099188A">
          <w:rPr>
            <w:rFonts w:ascii="Times New Roman" w:hAnsi="Times New Roman" w:cs="Times New Roman"/>
            <w:sz w:val="24"/>
          </w:rPr>
          <w:instrText>PAGE   \* MERGEFORMAT</w:instrText>
        </w:r>
        <w:r w:rsidRPr="0099188A">
          <w:rPr>
            <w:rFonts w:ascii="Times New Roman" w:hAnsi="Times New Roman" w:cs="Times New Roman"/>
            <w:sz w:val="24"/>
          </w:rPr>
          <w:fldChar w:fldCharType="separate"/>
        </w:r>
        <w:r w:rsidRPr="0099188A">
          <w:rPr>
            <w:rFonts w:ascii="Times New Roman" w:hAnsi="Times New Roman" w:cs="Times New Roman"/>
            <w:sz w:val="24"/>
          </w:rPr>
          <w:t>2</w:t>
        </w:r>
        <w:r w:rsidRPr="0099188A">
          <w:rPr>
            <w:rFonts w:ascii="Times New Roman" w:hAnsi="Times New Roman" w:cs="Times New Roman"/>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F5FD3" w14:textId="77777777" w:rsidR="0099188A" w:rsidRDefault="0099188A" w:rsidP="0099188A">
      <w:pPr>
        <w:spacing w:after="0" w:line="240" w:lineRule="auto"/>
      </w:pPr>
      <w:r>
        <w:separator/>
      </w:r>
    </w:p>
  </w:footnote>
  <w:footnote w:type="continuationSeparator" w:id="0">
    <w:p w14:paraId="6B7A33CE" w14:textId="77777777" w:rsidR="0099188A" w:rsidRDefault="0099188A" w:rsidP="009918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abstractNum>
  <w:abstractNum w:abstractNumId="1" w15:restartNumberingAfterBreak="0">
    <w:nsid w:val="00000002"/>
    <w:multiLevelType w:val="multilevel"/>
    <w:tmpl w:val="00000002"/>
    <w:lvl w:ilvl="0">
      <w:start w:val="1"/>
      <w:numFmt w:val="decimal"/>
      <w:lvlText w:val="%1)"/>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1">
      <w:start w:val="1"/>
      <w:numFmt w:val="decimal"/>
      <w:lvlText w:val="%2)"/>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2">
      <w:start w:val="1"/>
      <w:numFmt w:val="decimal"/>
      <w:lvlText w:val="%3)"/>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3">
      <w:start w:val="1"/>
      <w:numFmt w:val="decimal"/>
      <w:lvlText w:val="%4)"/>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4">
      <w:start w:val="1"/>
      <w:numFmt w:val="decimal"/>
      <w:lvlText w:val="%5)"/>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5">
      <w:start w:val="1"/>
      <w:numFmt w:val="decimal"/>
      <w:lvlText w:val="%6)"/>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6">
      <w:start w:val="1"/>
      <w:numFmt w:val="decimal"/>
      <w:lvlText w:val="%7)"/>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7">
      <w:start w:val="1"/>
      <w:numFmt w:val="decimal"/>
      <w:lvlText w:val="%8)"/>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8">
      <w:start w:val="1"/>
      <w:numFmt w:val="decimal"/>
      <w:lvlText w:val="%9)"/>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abstractNum>
  <w:abstractNum w:abstractNumId="2" w15:restartNumberingAfterBreak="0">
    <w:nsid w:val="00000003"/>
    <w:multiLevelType w:val="multilevel"/>
    <w:tmpl w:val="00000003"/>
    <w:lvl w:ilvl="0">
      <w:start w:val="1"/>
      <w:numFmt w:val="decimal"/>
      <w:lvlText w:val="%1)"/>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abstractNum>
  <w:abstractNum w:abstractNumId="3" w15:restartNumberingAfterBreak="0">
    <w:nsid w:val="42D36DB6"/>
    <w:multiLevelType w:val="hybridMultilevel"/>
    <w:tmpl w:val="A716A6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4967126"/>
    <w:multiLevelType w:val="hybridMultilevel"/>
    <w:tmpl w:val="20547DB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5BE10D57"/>
    <w:multiLevelType w:val="hybridMultilevel"/>
    <w:tmpl w:val="F2D804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04662095">
    <w:abstractNumId w:val="0"/>
  </w:num>
  <w:num w:numId="2" w16cid:durableId="46295130">
    <w:abstractNumId w:val="0"/>
    <w:lvlOverride w:ilvl="0">
      <w:lvl w:ilvl="0">
        <w:start w:val="1"/>
        <w:numFmt w:val="decimal"/>
        <w:lvlText w:val="%1."/>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Override>
    <w:lvlOverride w:ilvl="1">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2">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3">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4">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5">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6">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7">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8">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num>
  <w:num w:numId="3" w16cid:durableId="1873879055">
    <w:abstractNumId w:val="0"/>
    <w:lvlOverride w:ilvl="0">
      <w:lvl w:ilvl="0">
        <w:start w:val="1"/>
        <w:numFmt w:val="decimal"/>
        <w:lvlText w:val="%1."/>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1">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2">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3">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4">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5">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6">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7">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8">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num>
  <w:num w:numId="4" w16cid:durableId="1673753660">
    <w:abstractNumId w:val="1"/>
  </w:num>
  <w:num w:numId="5" w16cid:durableId="602231577">
    <w:abstractNumId w:val="2"/>
  </w:num>
  <w:num w:numId="6" w16cid:durableId="1110667495">
    <w:abstractNumId w:val="5"/>
  </w:num>
  <w:num w:numId="7" w16cid:durableId="1824421777">
    <w:abstractNumId w:val="3"/>
  </w:num>
  <w:num w:numId="8" w16cid:durableId="13254276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AE053A"/>
    <w:rsid w:val="00031903"/>
    <w:rsid w:val="00077018"/>
    <w:rsid w:val="00084070"/>
    <w:rsid w:val="0009408D"/>
    <w:rsid w:val="000F3F54"/>
    <w:rsid w:val="000F75A7"/>
    <w:rsid w:val="001130EA"/>
    <w:rsid w:val="00174203"/>
    <w:rsid w:val="001925F4"/>
    <w:rsid w:val="002124E5"/>
    <w:rsid w:val="00240EA6"/>
    <w:rsid w:val="00266201"/>
    <w:rsid w:val="003264A4"/>
    <w:rsid w:val="003620A9"/>
    <w:rsid w:val="003C6351"/>
    <w:rsid w:val="00434123"/>
    <w:rsid w:val="00453E89"/>
    <w:rsid w:val="004561CB"/>
    <w:rsid w:val="00485C27"/>
    <w:rsid w:val="0049512F"/>
    <w:rsid w:val="004F205D"/>
    <w:rsid w:val="00514989"/>
    <w:rsid w:val="005233E9"/>
    <w:rsid w:val="005B527D"/>
    <w:rsid w:val="00681AE5"/>
    <w:rsid w:val="00721FDF"/>
    <w:rsid w:val="00742E9C"/>
    <w:rsid w:val="00805394"/>
    <w:rsid w:val="008716FB"/>
    <w:rsid w:val="008C26DC"/>
    <w:rsid w:val="008E59E0"/>
    <w:rsid w:val="0099188A"/>
    <w:rsid w:val="00A221CB"/>
    <w:rsid w:val="00A63C71"/>
    <w:rsid w:val="00AA5D55"/>
    <w:rsid w:val="00AE053A"/>
    <w:rsid w:val="00BB4F1C"/>
    <w:rsid w:val="00C66FA6"/>
    <w:rsid w:val="00CE0C18"/>
    <w:rsid w:val="00DA6AC2"/>
    <w:rsid w:val="00E3090D"/>
    <w:rsid w:val="00E82F2D"/>
    <w:rsid w:val="00ED4CEF"/>
    <w:rsid w:val="00FB0B39"/>
    <w:rsid w:val="00FE4B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53CE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9188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9188A"/>
  </w:style>
  <w:style w:type="paragraph" w:styleId="Stopka">
    <w:name w:val="footer"/>
    <w:basedOn w:val="Normalny"/>
    <w:link w:val="StopkaZnak"/>
    <w:uiPriority w:val="99"/>
    <w:unhideWhenUsed/>
    <w:rsid w:val="0099188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9188A"/>
  </w:style>
  <w:style w:type="paragraph" w:styleId="Akapitzlist">
    <w:name w:val="List Paragraph"/>
    <w:basedOn w:val="Normalny"/>
    <w:uiPriority w:val="34"/>
    <w:qFormat/>
    <w:rsid w:val="001130EA"/>
    <w:pPr>
      <w:ind w:left="720"/>
      <w:contextualSpacing/>
    </w:pPr>
  </w:style>
  <w:style w:type="character" w:styleId="Hipercze">
    <w:name w:val="Hyperlink"/>
    <w:basedOn w:val="Domylnaczcionkaakapitu"/>
    <w:uiPriority w:val="99"/>
    <w:semiHidden/>
    <w:unhideWhenUsed/>
    <w:rsid w:val="001130EA"/>
    <w:rPr>
      <w:color w:val="0000FF"/>
      <w:u w:val="single"/>
    </w:rPr>
  </w:style>
  <w:style w:type="paragraph" w:styleId="Tekstprzypisukocowego">
    <w:name w:val="endnote text"/>
    <w:basedOn w:val="Normalny"/>
    <w:link w:val="TekstprzypisukocowegoZnak"/>
    <w:uiPriority w:val="99"/>
    <w:semiHidden/>
    <w:unhideWhenUsed/>
    <w:rsid w:val="0051498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14989"/>
    <w:rPr>
      <w:sz w:val="20"/>
      <w:szCs w:val="20"/>
    </w:rPr>
  </w:style>
  <w:style w:type="character" w:styleId="Odwoanieprzypisukocowego">
    <w:name w:val="endnote reference"/>
    <w:basedOn w:val="Domylnaczcionkaakapitu"/>
    <w:uiPriority w:val="99"/>
    <w:semiHidden/>
    <w:unhideWhenUsed/>
    <w:rsid w:val="00514989"/>
    <w:rPr>
      <w:vertAlign w:val="superscript"/>
    </w:rPr>
  </w:style>
  <w:style w:type="character" w:customStyle="1" w:styleId="alb-s">
    <w:name w:val="a_lb-s"/>
    <w:basedOn w:val="Domylnaczcionkaakapitu"/>
    <w:rsid w:val="00805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120055">
      <w:bodyDiv w:val="1"/>
      <w:marLeft w:val="0"/>
      <w:marRight w:val="0"/>
      <w:marTop w:val="0"/>
      <w:marBottom w:val="0"/>
      <w:divBdr>
        <w:top w:val="none" w:sz="0" w:space="0" w:color="auto"/>
        <w:left w:val="none" w:sz="0" w:space="0" w:color="auto"/>
        <w:bottom w:val="none" w:sz="0" w:space="0" w:color="auto"/>
        <w:right w:val="none" w:sz="0" w:space="0" w:color="auto"/>
      </w:divBdr>
      <w:divsChild>
        <w:div w:id="340399816">
          <w:marLeft w:val="0"/>
          <w:marRight w:val="0"/>
          <w:marTop w:val="72"/>
          <w:marBottom w:val="0"/>
          <w:divBdr>
            <w:top w:val="none" w:sz="0" w:space="0" w:color="auto"/>
            <w:left w:val="none" w:sz="0" w:space="0" w:color="auto"/>
            <w:bottom w:val="none" w:sz="0" w:space="0" w:color="auto"/>
            <w:right w:val="none" w:sz="0" w:space="0" w:color="auto"/>
          </w:divBdr>
          <w:divsChild>
            <w:div w:id="1271275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642599">
      <w:bodyDiv w:val="1"/>
      <w:marLeft w:val="0"/>
      <w:marRight w:val="0"/>
      <w:marTop w:val="0"/>
      <w:marBottom w:val="0"/>
      <w:divBdr>
        <w:top w:val="none" w:sz="0" w:space="0" w:color="auto"/>
        <w:left w:val="none" w:sz="0" w:space="0" w:color="auto"/>
        <w:bottom w:val="none" w:sz="0" w:space="0" w:color="auto"/>
        <w:right w:val="none" w:sz="0" w:space="0" w:color="auto"/>
      </w:divBdr>
      <w:divsChild>
        <w:div w:id="1221788508">
          <w:marLeft w:val="360"/>
          <w:marRight w:val="0"/>
          <w:marTop w:val="72"/>
          <w:marBottom w:val="72"/>
          <w:divBdr>
            <w:top w:val="none" w:sz="0" w:space="0" w:color="auto"/>
            <w:left w:val="none" w:sz="0" w:space="0" w:color="auto"/>
            <w:bottom w:val="none" w:sz="0" w:space="0" w:color="auto"/>
            <w:right w:val="none" w:sz="0" w:space="0" w:color="auto"/>
          </w:divBdr>
          <w:divsChild>
            <w:div w:id="1893033429">
              <w:marLeft w:val="0"/>
              <w:marRight w:val="0"/>
              <w:marTop w:val="0"/>
              <w:marBottom w:val="0"/>
              <w:divBdr>
                <w:top w:val="none" w:sz="0" w:space="0" w:color="auto"/>
                <w:left w:val="none" w:sz="0" w:space="0" w:color="auto"/>
                <w:bottom w:val="none" w:sz="0" w:space="0" w:color="auto"/>
                <w:right w:val="none" w:sz="0" w:space="0" w:color="auto"/>
              </w:divBdr>
            </w:div>
          </w:divsChild>
        </w:div>
        <w:div w:id="1287928492">
          <w:marLeft w:val="360"/>
          <w:marRight w:val="0"/>
          <w:marTop w:val="0"/>
          <w:marBottom w:val="72"/>
          <w:divBdr>
            <w:top w:val="none" w:sz="0" w:space="0" w:color="auto"/>
            <w:left w:val="none" w:sz="0" w:space="0" w:color="auto"/>
            <w:bottom w:val="none" w:sz="0" w:space="0" w:color="auto"/>
            <w:right w:val="none" w:sz="0" w:space="0" w:color="auto"/>
          </w:divBdr>
          <w:divsChild>
            <w:div w:id="1905137234">
              <w:marLeft w:val="0"/>
              <w:marRight w:val="0"/>
              <w:marTop w:val="0"/>
              <w:marBottom w:val="0"/>
              <w:divBdr>
                <w:top w:val="none" w:sz="0" w:space="0" w:color="auto"/>
                <w:left w:val="none" w:sz="0" w:space="0" w:color="auto"/>
                <w:bottom w:val="none" w:sz="0" w:space="0" w:color="auto"/>
                <w:right w:val="none" w:sz="0" w:space="0" w:color="auto"/>
              </w:divBdr>
            </w:div>
          </w:divsChild>
        </w:div>
        <w:div w:id="1902280065">
          <w:marLeft w:val="360"/>
          <w:marRight w:val="0"/>
          <w:marTop w:val="0"/>
          <w:marBottom w:val="72"/>
          <w:divBdr>
            <w:top w:val="none" w:sz="0" w:space="0" w:color="auto"/>
            <w:left w:val="none" w:sz="0" w:space="0" w:color="auto"/>
            <w:bottom w:val="none" w:sz="0" w:space="0" w:color="auto"/>
            <w:right w:val="none" w:sz="0" w:space="0" w:color="auto"/>
          </w:divBdr>
          <w:divsChild>
            <w:div w:id="166412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4633</Words>
  <Characters>22445</Characters>
  <Application>Microsoft Office Word</Application>
  <DocSecurity>0</DocSecurity>
  <Lines>316</Lines>
  <Paragraphs>35</Paragraphs>
  <ScaleCrop>false</ScaleCrop>
  <Company/>
  <LinksUpToDate>false</LinksUpToDate>
  <CharactersWithSpaces>27052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2026-03-19T11:34:00Z</dcterms:created>
  <dcterms:modified xsi:type="dcterms:W3CDTF">2026-03-19T11:35:00Z</dcterms:modified>
</cp:coreProperties>
</file>